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994F91">
      <w:pPr>
        <w:ind w:leftChars="2767" w:left="5811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1D44FFF5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25709EF4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6923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25709EF4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692310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994F91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3D972" w14:textId="77777777" w:rsidR="008371D8" w:rsidRDefault="008371D8">
      <w:r>
        <w:separator/>
      </w:r>
    </w:p>
  </w:endnote>
  <w:endnote w:type="continuationSeparator" w:id="0">
    <w:p w14:paraId="5027D329" w14:textId="77777777" w:rsidR="008371D8" w:rsidRDefault="0083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A25B0" w14:textId="77777777" w:rsidR="008371D8" w:rsidRDefault="008371D8">
      <w:r>
        <w:separator/>
      </w:r>
    </w:p>
  </w:footnote>
  <w:footnote w:type="continuationSeparator" w:id="0">
    <w:p w14:paraId="5B3E5B9E" w14:textId="77777777" w:rsidR="008371D8" w:rsidRDefault="008371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1F52B1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4A44EA"/>
    <w:rsid w:val="005152D4"/>
    <w:rsid w:val="00520368"/>
    <w:rsid w:val="00594E69"/>
    <w:rsid w:val="005E0404"/>
    <w:rsid w:val="00623125"/>
    <w:rsid w:val="00692310"/>
    <w:rsid w:val="00693AD8"/>
    <w:rsid w:val="006B692A"/>
    <w:rsid w:val="007251ED"/>
    <w:rsid w:val="007C59AE"/>
    <w:rsid w:val="008236F4"/>
    <w:rsid w:val="008371D8"/>
    <w:rsid w:val="008839A1"/>
    <w:rsid w:val="008F3060"/>
    <w:rsid w:val="00955B86"/>
    <w:rsid w:val="00994F91"/>
    <w:rsid w:val="00A3730C"/>
    <w:rsid w:val="00A4765B"/>
    <w:rsid w:val="00A537CC"/>
    <w:rsid w:val="00A57B7E"/>
    <w:rsid w:val="00B117C5"/>
    <w:rsid w:val="00B25C22"/>
    <w:rsid w:val="00B76A52"/>
    <w:rsid w:val="00BE359C"/>
    <w:rsid w:val="00C6074A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E052C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2025-08-25T00:17:00Z</dcterms:modified>
</cp:coreProperties>
</file>